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VO-NSGCALPENZMOOR (Brandenburg) — Zulässige Handlungen</w:t>
      </w:r>
    </w:p>
    <w:p>
      <w:r>
        <w:rPr>
          <w:color w:val="555555"/>
          <w:sz w:val="18"/>
        </w:rPr>
        <w:t xml:space="preserve">Verordnung über das Naturschutzgebiet „Calpenzmoor“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den in § 1b Abs. 4 des Brandenburgischen Naturschutzgesetzes genannten Anforderungen und Grundsätzen entsprechende landwirtschaftliche Bodennutzung in der bisherigen Art und im bisherigen Umfang auf den bisher rechtmäßig dafür genutzten Flächen mit der Maßgabe, dass</w:t>
      </w:r>
    </w:p>
    <w:p>
      <w:r>
        <w:t xml:space="preserve">Grünland als Wiese oder Weide genutzt wird und die jährliche Zufuhr an Pflanzennährstoffen über Düngemittel inklusive der Exkremente von Weidetieren je Hektar Grünland die Menge nicht überschreitet, die dem Nährstoffäquivalent des Dunganfalls von 1,4 Großvieheinheiten (GVE) entspricht, ohne chemisch-synthetische Stickstoffdüngemittel und Sekundärrohstoffdünger wie Schmutzwasser, Klärschlamm und Bioabfälle einzusetzen,</w:t>
      </w:r>
    </w:p>
    <w:p>
      <w:r>
        <w:t xml:space="preserve">§ 4 Abs. 2 Nr. 21 und 22 gilt, wobei die umbruchlose Nachsaat des Grünlandes bei Narbenschäden mit Zustimmung der unteren Naturschutzbehörde zulässig ist;</w:t>
      </w:r>
    </w:p>
    <w:p>
      <w:r>
        <w:t xml:space="preserve">die den in § 1b Abs. 5 des Brandenburgischen Naturschutzgesetzes genannten Anforderungen entsprechende forstwirtschaftliche Bodennutzung auf den bisher rechtmäßig dafür genutzten Flächen mit der Maßgabe, dass nur Arten der potenziell natürlichen Vegetation eingebracht werden, wobei nur heimische Baumarten unter Ausschluss eingebürgerter Arten zu verwenden sind. Nebenbaumarten dürfen dabei nicht als Hauptbaumart eingesetzt werden;</w:t>
      </w:r>
    </w:p>
    <w:p>
      <w:r>
        <w:t xml:space="preserve">die den in § 1b Abs. 6 des Brandenburgischen Naturschutzgesetzes genannten Anforderungen in Verbindung mit dem Fischereigesetz für das Land Brandenburg entsprechende fischereiwirtschaftliche Flächennutzung auf den bisher rechtmäßig dafür genutzten Flächen mit der Maßgabe, dass der Besatz mit Karpfen unzulässig ist;</w:t>
      </w:r>
    </w:p>
    <w:p>
      <w:r>
        <w:t xml:space="preserve">die Ausübung der Angelfischerei mit der Maßgabe, dass die Beangelung von Booten und von den in der topografischen Karte im Maßstab 1 : 10 000 gekennzeichneten Bereichen am Ufer erfolgt;</w:t>
      </w:r>
    </w:p>
    <w:p>
      <w:r>
        <w:t xml:space="preserve">für den Bereich Jagd:</w:t>
      </w:r>
    </w:p>
    <w:p>
      <w:r>
        <w:t xml:space="preserve">die rechtmäßige Ausübung der Jagd,</w:t>
      </w:r>
    </w:p>
    <w:p>
      <w:r>
        <w:t xml:space="preserve">die Anlage von Kirrungen und Ansitzeinrichtungen außerhalb gesetzlich geschützter Biotope.</w:t>
      </w:r>
    </w:p>
    <w:p>
      <w:r>
        <w:t xml:space="preserve">Die Anlage von Wildäckern bleibt unzulässig;</w:t>
      </w:r>
    </w:p>
    <w:p>
      <w:r>
        <w:t xml:space="preserve">das Befahren der Gewässer mit Ruderbooten mit der Maßgabe, dass das Eindringen in die Schilf-, Röhricht- und Schwingmoorbereiche verboten ist sowie als Einlass- und Liegestellen</w:t>
      </w:r>
    </w:p>
    <w:p>
      <w:r>
        <w:t xml:space="preserve">für zwei Ruderboote das Flurstück 205, Flur 1, Gemarkung Drewitz (alter Torfstich),</w:t>
      </w:r>
    </w:p>
    <w:p>
      <w:r>
        <w:t xml:space="preserve">für vier Ruderboote die Flurstücke 38 bis 40, Flur 1, Gemarkung Drewitz (neuer Torfstich), zulässig sind;</w:t>
      </w:r>
    </w:p>
    <w:p>
      <w:r>
        <w:t xml:space="preserve">die im Sinne des § 10 des Brandenburgischen Straßengesetzes ordnungsgemäße Unterhaltung der dem öffentlichen Verkehr gewidmeten Straßen und Wege, die im Sinne der §§ 28 des Wasserhaushaltsgesetzes und 78 des Brandenburgischen Wassergesetzes ordnungsgemäße Unterhaltung der Gewässer sowie die ordnungsgemäße Unterhaltung sonstiger rechtmäßig bestehender Anlagen jeweils im Einvernehmen mit der unteren Naturschutzbehörde;</w:t>
      </w:r>
    </w:p>
    <w:p>
      <w:r>
        <w:t xml:space="preserve">Maßnahmen zur Untersuchung von altlastverdächtigen Flächen und Verdachtsflächen sowie Maßnahmen der Altlastensanierung und der Sanierung schädlicher Bodenveränderungen gemäß Bundes-Bodenschutzgesetz sowie Maßnahmen der Munitionsräumung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der zulässigen Nutzung des Eigentums sowie für das Betreten und Befahren im Rahmen der nach Absatz 1 zulässigen Handlungen; das Gestattungserfordernis nach § 16 Abs. 2 des Waldgesetzes des Landes Brandenburg bleibt unberührt.</w:t>
      </w:r>
    </w:p>
    <w:p>
      <w:r>
        <w:rPr>
          <w:color w:val="555555"/>
          <w:sz w:val="17"/>
        </w:rPr>
        <w:t xml:space="preserve">Zitiervorschlag: § 5 VO-NSGCALPENZMOOR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https://recht.nulegal.eu/gesetze/VO-NSGCALPENZMOOR/5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