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VO-NSGATTERWASCH (Brandenburg) — Duldungspflicht, Verhältnis zu anderen naturschutzrechtlichen Bestimmungen</w:t>
      </w:r>
    </w:p>
    <w:p>
      <w:r>
        <w:rPr>
          <w:color w:val="555555"/>
          <w:sz w:val="18"/>
        </w:rPr>
        <w:t xml:space="preserve">Verordnung über das Naturschutzgebiet „Feuchtwiesen Atterwasch“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Duldung von Maßnahmen des Naturschutzes und der Landschaftspflege, die zur Ausführung der in dieser Verordnung festgelegten Schutz-, Pflege-, Entwicklungs- und Wiederherstellungsmaßnahmen und zur Verwirklichung des Schutzzwecks erforderlich sind, richtet sich nach §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35 des Brandenburgischen Naturschutzgesetzes) und über den Schutz und die Pflege wild lebender Tier- und Pflanzenarten (§§ 39 bis 55 des Bundesnaturschutzgesetzes, §§ 37 bis 43a des Brandenburgischen Naturschutzgesetzes) unberührt.</w:t>
      </w:r>
    </w:p>
    <w:p>
      <w:r>
        <w:rPr>
          <w:color w:val="555555"/>
          <w:sz w:val="17"/>
        </w:rPr>
        <w:t xml:space="preserve">Zitiervorschlag: § 9 VO-NSGATTERWASCH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https://recht.nulegal.eu/gesetze/VO-NSGATTERWASCH/9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