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VO-NSGATTERWASCH (Brandenburg) — Ordnungswidrigkeiten</w:t>
      </w:r>
    </w:p>
    <w:p>
      <w:r>
        <w:rPr>
          <w:color w:val="555555"/>
          <w:sz w:val="18"/>
        </w:rPr>
        <w:t xml:space="preserve">Verordnung über das Naturschutzgebiet „Feuchtwiesen Atterwasch“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39 Absatz 2 Nummer 2 des Brandenburgischen Naturschutzausführungsgesetzes handelt, wer vorsätzlich oder fahrlässig den Verboten des § 4 oder den Bestimmungen des § 5 zuwiderhandelt.</w:t>
      </w:r>
    </w:p>
    <w:p>
      <w:r>
        <w:t xml:space="preserve">(2) Ordnungswidrigkeiten nach Absatz 1 können gemäß § 40 des Brandenburgischen Naturschutzausführungsgesetzes mit einer Geldbuße von bis zu fünfundsechzigtausend Euro geahndet werden.</w:t>
      </w:r>
    </w:p>
    <w:p>
      <w:r>
        <w:rPr>
          <w:color w:val="555555"/>
          <w:sz w:val="17"/>
        </w:rPr>
        <w:t xml:space="preserve">Zitiervorschlag: § 8 VO-NSGATTERWASCH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https://recht.nulegal.eu/gesetze/VO-NSGATTERWASCH/8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