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VO-NSGATTERWASCH (Brandenburg) — In-Kraft-Treten</w:t>
      </w:r>
    </w:p>
    <w:p>
      <w:r>
        <w:rPr>
          <w:color w:val="555555"/>
          <w:sz w:val="18"/>
        </w:rPr>
        <w:t xml:space="preserve">Verordnung über das Naturschutzgebiet „Feuchtwiesen Atterwasch“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5 Abs. 1 Nr. 1 Buchstabe a und b dieser Verordnung tritt am 1. Juli 2005 in Kraft. Im Übrigen tritt diese Verordnung am Tage nach der Verkündung in Kraft.</w:t>
      </w:r>
    </w:p>
    <w:p>
      <w:r>
        <w:t xml:space="preserve">Potsdam, den 27. August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11 VO-NSGATTERWASCH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https://recht.nulegal.eu/gesetze/VO-NSGATTERWASCH/11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