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VO-NNMGRUENESBAND (Brandenburg) — Geltendmachen von Rechtsmängeln</w:t>
      </w:r>
    </w:p>
    <w:p>
      <w:r>
        <w:rPr>
          <w:color w:val="555555"/>
          <w:sz w:val="18"/>
        </w:rPr>
        <w:t xml:space="preserve">Verordnung zur Festsetzung des Nationalen Naturmonuments „Grünes Band Brandenburg“</w:t>
      </w:r>
    </w:p>
    <w:p>
      <w:r>
        <w:rPr>
          <w:color w:val="555555"/>
          <w:sz w:val="18"/>
        </w:rPr>
        <w:t xml:space="preserve">Landesrecht Brandenburg</w:t>
      </w:r>
    </w:p>
    <w:p>
      <w:r>
        <w:rPr>
          <w:color w:val="555555"/>
          <w:sz w:val="18"/>
        </w:rPr>
        <w:t xml:space="preserve">Stand: 21.08.2026 (konsolidierte Textfassung, kein amtliches Inkrafttretensdatum)</w:t>
      </w:r>
    </w:p>
    <w:p>
      <w:r>
        <w:t xml:space="preserve">Eine Verletzung der in § 9 des Brandenburgischen Naturschutzausführungsgesetzes genannten Verfahrens- und Formvorschriften kann gegen diese Verordnung gemäß § 12 Absatz 2 des Brandenburgischen Naturschutzausführungsgesetzes nur innerhalb eines Jahres nach ihrem Inkrafttreten schriftlich unter Angabe der verletzten Rechtsvorschrift und des Sachverhalts, der die Verletzung begründen soll, gegenüber dem für Naturschutz und Landschaftspflege zuständigen Fachministerium geltend gemacht werden. Das Gleiche gilt für Mängel bei der Beschreibung des Schutzzwecks sowie für Mängel bei der Prüfung der Erforderlichkeit der Unterschutzstellung einzelner Flächen. Mängel im Abwägungsvorgang sind nur dann beachtlich, wenn sie offensichtlich und auf das Abwägungsergebnis von Einfluss gewesen sind und die Mängel in der Abwägung innerhalb von vier Jahren nach Inkrafttreten dieser Verordnung unter den in Satz 1 genannten Voraussetzungen geltend gemacht worden sind.</w:t>
      </w:r>
    </w:p>
    <w:p>
      <w:r>
        <w:rPr>
          <w:color w:val="555555"/>
          <w:sz w:val="17"/>
        </w:rPr>
        <w:t xml:space="preserve">Zitiervorschlag: § 7 VO-NNMGRUENESBAND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https://recht.nulegal.eu/gesetze/VO-NNMGRUENESBAND/7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