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VO-NNMGRUENESBAND (Brandenburg) — Trägerschaft</w:t>
      </w:r>
    </w:p>
    <w:p>
      <w:r>
        <w:rPr>
          <w:color w:val="555555"/>
          <w:sz w:val="18"/>
        </w:rPr>
        <w:t xml:space="preserve">Verordnung zur Festsetzung des Nationalen Naturmonuments „Grünes Band Brandenburg“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Träger des Nationalen Naturmonuments „Grünes Band Brandenburg“ sind:</w:t>
      </w:r>
    </w:p>
    <w:p>
      <w:r>
        <w:t xml:space="preserve">für die Belange des Naturschutzes das für Naturschutz und Landschaftspflege zuständige Fachministerium, das für diese Aufgabe von der Verwaltung des Biosphärenreservates „Flusslandschaft Elbe-Brandenburg“ unterstützt wird und</w:t>
      </w:r>
    </w:p>
    <w:p>
      <w:r>
        <w:t xml:space="preserve">für die Belange der Erinnerungskultur das für die Belange der Kultur zuständige Fachministerium.</w:t>
      </w:r>
    </w:p>
    <w:p>
      <w:r>
        <w:rPr>
          <w:color w:val="555555"/>
          <w:sz w:val="17"/>
        </w:rPr>
        <w:t xml:space="preserve">Zitiervorschlag: § 5 VO-NNMGRUENESBAND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https://recht.nulegal.eu/gesetze/VO-NNMGRUENESBAND/5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