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VO-NNMGRUENESBAND (Brandenburg) — Erklärung zum Nationalen Naturmonument</w:t>
      </w:r>
    </w:p>
    <w:p>
      <w:r>
        <w:rPr>
          <w:color w:val="555555"/>
          <w:sz w:val="18"/>
        </w:rPr>
        <w:t xml:space="preserve">Verordnung zur Festsetzung des Nationalen Naturmonuments „Grünes Band Brandenburg“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21.08.2026 (konsolidierte Textfassung, kein amtliches Inkrafttretensdatum)</w:t>
      </w:r>
    </w:p>
    <w:p>
      <w:r>
        <w:t xml:space="preserve">Die in § 2 bezeichnete Fläche im Landkreis Prignitz wird als Nationales Naturmonument „Grünes Band Brandenburg“ festgesetzt.</w:t>
      </w:r>
    </w:p>
    <w:p>
      <w:r>
        <w:rPr>
          <w:color w:val="555555"/>
          <w:sz w:val="17"/>
        </w:rPr>
        <w:t xml:space="preserve">Zitiervorschlag: § 1 VO-NNMGRUENESBAND (Brandenburg)</w:t>
      </w:r>
    </w:p>
    <w:p>
      <w:r>
        <w:rPr>
          <w:color w:val="555555"/>
          <w:sz w:val="17"/>
        </w:rPr>
        <w:t xml:space="preserve">Quelle: bravors, abgerufen 21.08.2026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https://recht.nulegal.eu/gesetze/VO-NNMGRUENESBAND/1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