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VO-NATSGSCHORFHV (Brandenburg) — Befreiungen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„Biosphärenreservat Schorfheide-Chorin“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Von den Verboten und Geboten dieser Verordnung kann auf Antrag im Einzelfall Befreiung gewährt werden, wenn</w:t>
      </w:r>
    </w:p>
    <w:p>
      <w:r>
        <w:t xml:space="preserve">die Durchführung der Vorschrift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zu einer nicht gewollten Beeinträchtigung von Natur und Landschaft führen würde oder</w:t>
      </w:r>
    </w:p>
    <w:p>
      <w:r>
        <w:t xml:space="preserve">überwiegende Gründe des Gemeinwohls die Befreiung erfordern.</w:t>
      </w:r>
    </w:p>
    <w:p>
      <w:r>
        <w:t xml:space="preserve">(2) Zuständig für die Erteilung der Befreiung ist die Aufsichtsbehörde der Reservatsverwaltung; die Aufsichtsbehörde kann diese Aufgabe ganz oder teilweise delegieren.</w:t>
      </w:r>
    </w:p>
    <w:p>
      <w:r>
        <w:rPr>
          <w:color w:val="555555"/>
          <w:sz w:val="17"/>
        </w:rPr>
        <w:t xml:space="preserve">Zitiervorschlag: § 8 VO-NATSGSCHORFHV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https://recht.nulegal.eu/gesetze/VO-NATSGSCHORFHV/8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