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VO-NATSGSCHORFHV (Brandenburg) — Vorrang dieser Verordnung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