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VO-NATPMSCHWEIZV (Brandenburg) — Ausnahmen</w:t>
      </w:r>
    </w:p>
    <w:p>
      <w:r>
        <w:rPr>
          <w:color w:val="555555"/>
          <w:sz w:val="18"/>
        </w:rPr>
        <w:t xml:space="preserve">Verordnung über die Festsetzung von Naturschutzgebieten und einem Landschaftsschutzgebiet von zentraler Bedeutung als Naturpark „Märkische Schweiz“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6 sind,</w:t>
      </w:r>
    </w:p>
    <w:p>
      <w:r>
        <w:t xml:space="preserve">unaufschiebbare Maßnahmen zum Schutz der Bevölkerung und zur Abwehr von Gefahren für Leib und Leben von Menschen sowie für erhebliche Sachwerte,</w:t>
      </w:r>
    </w:p>
    <w:p>
      <w:r>
        <w:t xml:space="preserve">Maßnahmen der Naturparkverwaltung, die ausschließlich dem Zweck des § 3 dienen,</w:t>
      </w:r>
    </w:p>
    <w:p>
      <w:r>
        <w:t xml:space="preserve">das Befahren der gesperrten Straßen und Wege mit Kraftfahrzeugen durch Angehörige von staatlichen Verwaltungen oder deren Beauftragte bei zwingend notwendigen Dienstfahrten sowie durch Sonstige mit Genehmigung der zuständigen Naturschutzbehörde,</w:t>
      </w:r>
    </w:p>
    <w:p>
      <w:r>
        <w:t xml:space="preserve">die den in § 5 Absatz 2 des Bundesnaturschutzgesetzes und in § 2 des Brandenburgischen Naturschutzausführungsgesetzes genannten Grundsätzen der guten fachlichen Praxis entsprechende landwirtschaftliche Bodennutzung auf den bisher rechtmäßig dafür genutzten Flächen, soweit in dem gemäß § 5 Absatz 3 zu erstellenden Pflege- und Entwicklungsplan nicht etwas anderes vorgesehen ist,</w:t>
      </w:r>
    </w:p>
    <w:p>
      <w:r>
        <w:t xml:space="preserve">die bisherige bestimmungsgemäße Nutzung von baulichen Anlagen einschließlich der dazugehörigen Flächen,</w:t>
      </w:r>
    </w:p>
    <w:p>
      <w:r>
        <w:t xml:space="preserve">die im Sinne des § 39 des Wasserhaushaltsgesetzes und des § 78 des Brandenburgischen Wassergesetzes ordnungsgemäße Unterhaltung der Gewässer, soweit sie dem in § 3 aufgeführten Schutzzweck nicht entgegensteht. Die Maßnahmen können durch einen abgestimmten Unterhaltungsplan dokumentiert werden,</w:t>
      </w:r>
    </w:p>
    <w:p>
      <w:r>
        <w:t xml:space="preserve">die im Sinne des § 10 des Brandenburgischen Straßengesetzes ordnungsgemäße Unterhaltung der dem öffentlichen Verkehr gewidmeten Straßen und Wege. Die untere Naturschutzbehörde ist rechtzeitig mit dem Ziel einer einvernehmlichen Lösung zu beteiligen.</w:t>
      </w:r>
    </w:p>
    <w:p>
      <w:r>
        <w:t xml:space="preserve">(2) Weiter bleiben die zum Zeitpunkt des Inkrafttretens der Verordnung auf Grund besonderer Genehmigungen und Rechte zulässigen Maßnahmen unberührt. Soweit diese Maßnahmen mit dem Schutzzweck des Naturparkes (§ 3) nicht vereinbar sind, sollen sie im Rahmen der rechtlichen Möglichkeiten so schnell wie möglich abgebaut werden.</w:t>
      </w:r>
    </w:p>
    <w:p>
      <w:r>
        <w:rPr>
          <w:color w:val="555555"/>
          <w:sz w:val="17"/>
        </w:rPr>
        <w:t xml:space="preserve">Zitiervorschlag: § 7 VO-NATPMSCHWEIZV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https://recht.nulegal.eu/gesetze/VO-NATPMSCHWEIZV/7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