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VO-NATPMSCHWEIZV (Brandenburg) — Schutzzonen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als Naturpark „Märkische Schweiz“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Gebiet des Naturparkes ist in zwei Schutzzonen gegliedert, die Schutzzone II (Entwicklungs- und Pflegezone) und die Schutzzone III (Erholungszone). Die Schutzzone I (Kernzone) ist nicht ausgewiesen.</w:t>
      </w:r>
    </w:p>
    <w:p>
      <w:r>
        <w:t xml:space="preserve">(2) Die Flächen der Schutzzone II werden als Naturschutzgebiete von zentraler Bedeutung ausgewiesen. Nachfolgende Gebiete gehören zur Schutzzone II:</w:t>
      </w:r>
    </w:p>
    <w:p>
      <w:r>
        <w:t xml:space="preserve">Naturschutzgebiet „Stobbertal“;</w:t>
      </w:r>
    </w:p>
    <w:p>
      <w:r>
        <w:t xml:space="preserve">Naturschutzgebiet „Klobichsee“;</w:t>
      </w:r>
    </w:p>
    <w:p>
      <w:r>
        <w:t xml:space="preserve">Naturschutzgebiet „Ruhlsdorfer Bruch“;</w:t>
      </w:r>
    </w:p>
    <w:p>
      <w:r>
        <w:t xml:space="preserve">Naturschutzgebiet „Gumnitz und Großer Schlagenthinsee“;</w:t>
      </w:r>
    </w:p>
    <w:p>
      <w:r>
        <w:t xml:space="preserve">Naturschutzgebiet „Gartzsee“;</w:t>
      </w:r>
    </w:p>
    <w:p>
      <w:r>
        <w:t xml:space="preserve">Naturschutzgebiet „Tiergarten“.</w:t>
      </w:r>
    </w:p>
    <w:p>
      <w:r>
        <w:t xml:space="preserve">(3) Die Schutzzone III wird als Landschaftsschutzgebiet von zentraler Bedeutung ausgewiesen. Die Schutzzone III umfaßt die nicht in Abs. 2 genannten Flächen des Naturparkes.</w:t>
      </w:r>
    </w:p>
    <w:p>
      <w:r>
        <w:rPr>
          <w:color w:val="555555"/>
          <w:sz w:val="17"/>
        </w:rPr>
        <w:t xml:space="preserve">Zitiervorschlag: § 4 VO-NATPMSCHWEIZV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https://recht.nulegal.eu/gesetze/VO-NATPMSCHWEIZV/4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