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VO-NATPMSCHWEIZV (Brandenburg) — Vorrang dieser Verordnung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als Naturpark „Märkische Schweiz“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Bestimmungen dieser Verordnung gehen den Bestimmungen der bestehenden naturschutzrechtlichen Beschlüsse, Verordnungen oder Anordnungen für dieses Gebiet vor.</w:t>
      </w:r>
    </w:p>
    <w:p>
      <w:r>
        <w:rPr>
          <w:color w:val="555555"/>
          <w:sz w:val="17"/>
        </w:rPr>
        <w:t xml:space="preserve">Zitiervorschlag: § 10 VO-NATPMSCHWEIZV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https://recht.nulegal.eu/gesetze/VO-NATPMSCHWEIZV/10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