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VO-MLUL_SPITZMUEHLE_OST_2015 (Brandenburg) — Duldungspflichten</w:t>
      </w:r>
    </w:p>
    <w:p>
      <w:r>
        <w:rPr>
          <w:color w:val="555555"/>
          <w:sz w:val="18"/>
        </w:rPr>
        <w:t xml:space="preserve">Verordnung zur Festsetzung des Wasserschutzgebietes für die Wasserfassung Strausberg – Spitzmühle-Ost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den Begünstigten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den Begünstigten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t xml:space="preserve">(3) Auf Verlangen der unteren Wasserbehörde ist Einsicht in die Aufzeichnungen nach § 3 Nummer 1 Buchstabe b und Nummer 11 Buchstabe d dieser Verordnung zu gewähren oder diese unverzüglich vorzulegen.</w:t>
      </w:r>
    </w:p>
    <w:p>
      <w:r>
        <w:rPr>
          <w:color w:val="555555"/>
          <w:sz w:val="17"/>
        </w:rPr>
        <w:t xml:space="preserve">Zitiervorschlag: § 9 VO-MLUL_SPITZMUEHLE_OST_2015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https://recht.nulegal.eu/gesetze/VO-MLUL_SPITZMUEHLE_OST_2015/9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