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VO-MLUL_SPITZMUEHLE_OST_2015 (Brandenburg) — Schutz der Zone I</w:t>
      </w:r>
    </w:p>
    <w:p>
      <w:r>
        <w:rPr>
          <w:color w:val="555555"/>
          <w:sz w:val="18"/>
        </w:rPr>
        <w:t xml:space="preserve">Verordnung zur Festsetzung des Wasserschutzgebietes für die Wasserfassung Strausberg – Spitzmühle-Ost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und II gelten auch in der Zone I. In der Zone I sind außerdem verboten:</w:t>
      </w:r>
    </w:p>
    <w:p>
      <w:r>
        <w:t xml:space="preserve">das Betreten oder Befahren,</w:t>
      </w:r>
    </w:p>
    <w:p>
      <w:r>
        <w:t xml:space="preserve">landwirtschaft-, forstwirtschaft-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VO-MLUL_SPITZMUEHLE_OST_2015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https://recht.nulegal.eu/gesetze/VO-MLUL_SPITZMUEHLE_OST_2015/5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