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VO-MLUL_SPITZMUEHLE_OST_2015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für die Wasserfassung Strausberg – Spitzmühle-Ost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 Gleichzeitig tritt das mit Beschluss-Nummer 100/82 vom 10. Februar 1982 des Kreistages Strausberg festgesetzte Trinkwasserschutzgebiet Strausberg – Wasserwerk Bötzsee außer Kraft.</w:t>
      </w:r>
    </w:p>
    <w:p>
      <w:r>
        <w:t xml:space="preserve">Potsdam, den 13. Juli 2015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12 VO-MLUL_SPITZMUEHLE_OST_2015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https://recht.nulegal.eu/gesetze/VO-MLUL_SPITZMUEHLE_OST_2015/12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