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VO-MLUL_SPITZMUEHLE_OST_2015 (Brandenburg) — Ordnungswidrigkeiten</w:t>
      </w:r>
    </w:p>
    <w:p>
      <w:r>
        <w:rPr>
          <w:color w:val="555555"/>
          <w:sz w:val="18"/>
        </w:rPr>
        <w:t xml:space="preserve">Verordnung zur Festsetzung des Wasserschutzgebietes für die Wasserfassung Strausberg – Spitzmühle-Ost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103 Absatz 1 Nummer 7a des Wasserhaushaltsgesetzes handelt, wer vorsätzlich oder fahrlässig eine nach den §§ 3, 4 oder 5 verbotene Handlung ohne eine Befreiung gemäß § 52 Absatz 1 Satz 2 des Wasserhaushaltsgesetzes vornimmt, ausgenommen das Verbot nach § 4 Nummer 15 dieser Verordnung.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11 VO-MLUL_SPITZMUEHLE_OST_2015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https://recht.nulegal.eu/gesetze/VO-MLUL_SPITZMUEHLE_OST_2015/11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