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VO-MDF_2015 (Brandenburg) — Inkrafttreten</w:t>
      </w:r>
    </w:p>
    <w:p>
      <w:r>
        <w:rPr>
          <w:color w:val="555555"/>
          <w:sz w:val="18"/>
        </w:rPr>
        <w:t xml:space="preserve">Verordnung über die Gewährung der Pauschvergütung für sonstige Umzugsauslagen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17. April 2015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2 VO-MDF_2015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https://recht.nulegal.eu/gesetze/VO-MDF_2015/2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