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VO-MDF_2015 (Brandenburg) — Pauschvergütung für sonstige Umzugsauslagen</w:t>
      </w:r>
    </w:p>
    <w:p>
      <w:r>
        <w:rPr>
          <w:color w:val="555555"/>
          <w:sz w:val="18"/>
        </w:rPr>
        <w:t xml:space="preserve">Verordnung über die Gewährung der Pauschvergütung für sonstige Umzugsauslagen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Berechnung der Pauschvergütung für sonstige Umzugsauslagen nach § 10 Absatz 1 des Bundesumzugskostengesetzes ist als Bemessungsgrundlage die Endstufe der Besoldungsgruppe A 13 nach der Anlage 4 des Brandenburgischen Besoldungsgesetzes maßgebend.</w:t>
      </w:r>
    </w:p>
    <w:p>
      <w:r>
        <w:t xml:space="preserve">(2) Die Anwendung der Auslandsumzugskostenverordnung bleibt unberührt.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VO-MDF_2015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https://recht.nulegal.eu/gesetze/VO-MDF_2015/1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