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VO-LSG_STEINITZ_GEISENDORFER (Brandenburg) — Ordnungswidrigkeiten</w:t>
      </w:r>
    </w:p>
    <w:p>
      <w:r>
        <w:rPr>
          <w:color w:val="555555"/>
          <w:sz w:val="18"/>
        </w:rPr>
        <w:t xml:space="preserve">Verordnung über das Landschaftsschutzgebiet „Steinitz-Geisendorfer Endmoränenlandschaft“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Vorschriften der §§ 4 und 5 zuwiderhandelt.</w:t>
      </w:r>
    </w:p>
    <w:p>
      <w:r>
        <w:t xml:space="preserve">(2) Ordnungswidrigkeiten nach Absatz 1 können gemäß § 74 des Brandenburgischen Naturschutzgesetzes mit einer Geldbuße bis zu 51 129,19 Euro (in Worten: einundfünfzigtausendeinhundertneunundzwanzig Euro, neunzehn Cent) geahndet werden.</w:t>
      </w:r>
    </w:p>
    <w:p>
      <w:r>
        <w:rPr>
          <w:color w:val="555555"/>
          <w:sz w:val="17"/>
        </w:rPr>
        <w:t xml:space="preserve">Zitiervorschlag: § 9 VO-LSG_STEINITZ_GEISENDORFER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https://recht.nulegal.eu/gesetze/VO-LSG_STEINITZ_GEISENDORFER/9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