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VO-LSG_STEINITZ_GEISENDORFER (Brandenburg) — Befreiungen</w:t>
      </w:r>
    </w:p>
    <w:p>
      <w:r>
        <w:rPr>
          <w:color w:val="555555"/>
          <w:sz w:val="18"/>
        </w:rPr>
        <w:t xml:space="preserve">Verordnung über das Landschaftsschutzgebiet „Steinitz-Geisendorfer Endmoränenlandschaft“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Von den Vorschriften dieser Verordnung kann die zuständige untere Naturschutzbehörde auf Antrag gemäß § 72 des Brandenburgischen Naturschutzgesetzes Befreiung gewähren. Dies gilt auch im Falle der Versagung einer Genehmigung nach § 4 Abs. 2 bis 4 dieser Verordnung.</w:t>
      </w:r>
    </w:p>
    <w:p>
      <w:r>
        <w:rPr>
          <w:color w:val="555555"/>
          <w:sz w:val="17"/>
        </w:rPr>
        <w:t xml:space="preserve">Zitiervorschlag: § 8 VO-LSG_STEINITZ_GEISENDORFER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https://recht.nulegal.eu/gesetze/VO-LSG_STEINITZ_GEISENDORFER/8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