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VO-LSG_STEINITZ_GEISENDORFER (Brandenburg) — Pflege- und Entwicklungsmaßnahmen</w:t>
      </w:r>
    </w:p>
    <w:p>
      <w:r>
        <w:rPr>
          <w:color w:val="555555"/>
          <w:sz w:val="18"/>
        </w:rPr>
        <w:t xml:space="preserve">Verordnung über das Landschaftsschutzgebiet „Steinitz-Geisendorfer Endmoränenlandschaft“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21.08.2026 (konsolidierte Textfassung, kein amtliches Inkrafttretensdatum)</w:t>
      </w:r>
    </w:p>
    <w:p>
      <w:r>
        <w:t xml:space="preserve">(1) Es werden in der Zone 1 folgende Maßnahmen als Zielvorstellung für die Pflege- und Entwicklung des Gebietes benannt:</w:t>
      </w:r>
    </w:p>
    <w:p>
      <w:r>
        <w:t xml:space="preserve">Das Vorkommen der Esskastanie (Castanea sativa) soll gesichert und gefördert werden.</w:t>
      </w:r>
    </w:p>
    <w:p>
      <w:r>
        <w:t xml:space="preserve">Der Raakower Park soll nach historischen Vorgaben wiederhergestellt werden.</w:t>
      </w:r>
    </w:p>
    <w:p>
      <w:r>
        <w:t xml:space="preserve">Es sollen Hecken, Feld- und Ufergehölze angelegt werden.</w:t>
      </w:r>
    </w:p>
    <w:p>
      <w:r>
        <w:t xml:space="preserve">Für die naturverträgliche Erholung soll das Gebiet durch Rad-, Reit- und Wanderwege erschlossen werden.</w:t>
      </w:r>
    </w:p>
    <w:p>
      <w:r>
        <w:t xml:space="preserve">Aus landschaftsästhetischen Gründen und zum Vogelschutz sollen Freileitungen entsprechend gesichert und nach Möglichkeit durch Erdverlegung ersetzt werden.</w:t>
      </w:r>
    </w:p>
    <w:p>
      <w:r>
        <w:t xml:space="preserve">(2) In der Zone 2 wird darüber hinaus folgende Maßnahme als Zielvorstellung für die Pflege und Entwicklung des Gebietes festgelegt:</w:t>
      </w:r>
    </w:p>
    <w:p>
      <w:r>
        <w:t xml:space="preserve">Artenreiche Mischwälder der potenziellen natürlichen Vegetation sollen mit dem Ziel einer naturnahen Bewirtschaftung und der möglichen Anlage von standorttypischen Heidebiotopmosaiken nach Inanspruchnahme durch den geplanten Braunkohle-Tagebau Welzow-Süd wiederhergestellt werden.</w:t>
      </w:r>
    </w:p>
    <w:p>
      <w:r>
        <w:rPr>
          <w:color w:val="555555"/>
          <w:sz w:val="17"/>
        </w:rPr>
        <w:t xml:space="preserve">Zitiervorschlag: § 7 VO-LSG_STEINITZ_GEISENDORFER (Brandenburg)</w:t>
      </w:r>
    </w:p>
    <w:p>
      <w:r>
        <w:rPr>
          <w:color w:val="555555"/>
          <w:sz w:val="17"/>
        </w:rPr>
        <w:t xml:space="preserve">Quelle: bravors, abgerufen 21.08.2026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https://recht.nulegal.eu/gesetze/VO-LSG_STEINITZ_GEISENDORFER/7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