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VO-LSG_STEINITZ_GEISENDORFER (Brandenburg) — Gebote</w:t>
      </w:r>
    </w:p>
    <w:p>
      <w:r>
        <w:rPr>
          <w:color w:val="555555"/>
          <w:sz w:val="18"/>
        </w:rPr>
        <w:t xml:space="preserve">Verordnung über das Landschaftsschutzgebiet „Steinitz-Geisendorfer Endmoränenlandschaft“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Zur Verwirklichung des Schutzzwecks gemäß § 3 Abs. 2 ist es geboten</w:t>
      </w:r>
    </w:p>
    <w:p>
      <w:r>
        <w:t xml:space="preserve">im Rahmen von Sanierungs- und Rekultivierungsmaßnahmen den Endmoränenzug zwischen Steinitz und Geisendorf wiederherzustellen und naturnahe Abflussverhältnisse zu schaffen;</w:t>
      </w:r>
    </w:p>
    <w:p>
      <w:r>
        <w:t xml:space="preserve">im Rahmen des Braunkohleabbaus Maßnahmen zur Erhaltung des Quellbereiches bei Steinitz zu treffen.</w:t>
      </w:r>
    </w:p>
    <w:p>
      <w:r>
        <w:rPr>
          <w:color w:val="555555"/>
          <w:sz w:val="17"/>
        </w:rPr>
        <w:t xml:space="preserve">Zitiervorschlag: § 5 VO-LSG_STEINITZ_GEISENDORFER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https://recht.nulegal.eu/gesetze/VO-LSG_STEINITZ_GEISENDORFER/5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