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VO-LSG_STEINITZ_GEISENDORFER (Brandenburg) — Schutzzweck</w:t>
      </w:r>
    </w:p>
    <w:p>
      <w:r>
        <w:rPr>
          <w:color w:val="555555"/>
          <w:sz w:val="18"/>
        </w:rPr>
        <w:t xml:space="preserve">Verordnung über das Landschaftsschutzgebiet „Steinitz-Geisendorfer Endmoränenlandschaft“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Die Unterschutzstellung dient in der Zone 1 insbesondere</w:t>
      </w:r>
    </w:p>
    <w:p>
      <w:r>
        <w:t xml:space="preserve">der Erhaltung der Vielfalt, Eigenart und Schönheit des Landschaftsbildes, insbesondere von</w:t>
      </w:r>
    </w:p>
    <w:p>
      <w:r>
        <w:t xml:space="preserve">einer eiszeitlich geprägten, reichstrukturierten Landschaft, mit ihren Schluchten, steil abfallenden Hängen am Rand des Altdöberner und Drebkauer Beckens,</w:t>
      </w:r>
    </w:p>
    <w:p>
      <w:r>
        <w:t xml:space="preserve">einer relativ feinstrukturierten, abwechslungsreichen Niederungslandschaft, einschließlich der Aue des „Steinitzer Wassers“ und</w:t>
      </w:r>
    </w:p>
    <w:p>
      <w:r>
        <w:t xml:space="preserve">Parks und Kleingehölzflächen als landschaftsprägenden Elementen;</w:t>
      </w:r>
    </w:p>
    <w:p>
      <w:r>
        <w:t xml:space="preserve">der Erhaltung des Gebietes wegen seiner kulturhistorischen Zeugnisse, insbesondere der Bruchfelder früherer untertägiger Braunkohleförderung und der dort neu entstandenen Biotope;</w:t>
      </w:r>
    </w:p>
    <w:p>
      <w:r>
        <w:t xml:space="preserve">der Erhaltung und Wiederherstellung des Naturhaushaltes, insbesondere</w:t>
      </w:r>
    </w:p>
    <w:p>
      <w:r>
        <w:t xml:space="preserve">des Wasserhaushaltes des Naturraumes „Drebkauer Becken“ durch Wiederherstellung naturnaher Abflussverhältnisse im Grund- und Oberflächenwasser,</w:t>
      </w:r>
    </w:p>
    <w:p>
      <w:r>
        <w:t xml:space="preserve">des „Göhrigker Sees“ und der Quellbereiche des naturnahen Baches „Steinitzer Wasser“ sowie</w:t>
      </w:r>
    </w:p>
    <w:p>
      <w:r>
        <w:t xml:space="preserve">der Bewahrung der Funktionsfähigkeit der Böden durch Sicherung und Förderung der natürlichen Vielfalt der Bodeneigenschaften und des Bodenlebens, insbesondere durch den Schutz der Böden vor Abtragung, Überbauung und Erosion;</w:t>
      </w:r>
    </w:p>
    <w:p>
      <w:r>
        <w:t xml:space="preserve">der Erhaltung und Entwicklung des Gebietes für eine naturverträgliche Erholungsnutzung.</w:t>
      </w:r>
    </w:p>
    <w:p>
      <w:r>
        <w:t xml:space="preserve">(2) Die Unterschutzstellung dient in der Zone 2 nach der bergbaulichen Inanspruchnahme</w:t>
      </w:r>
    </w:p>
    <w:p>
      <w:r>
        <w:t xml:space="preserve">dem Schutz und der Entwicklung des wiederhergestellten Endmoränenzuges zwischen Steinitz und Geisendorf als geologische Besonderheit sowie als Lebensraum für charakteristische Tier- und Pflanzenarten;</w:t>
      </w:r>
    </w:p>
    <w:p>
      <w:r>
        <w:t xml:space="preserve">der Wiederherstellung der Leistungsfähigkeit des Naturhaushaltes in diesem Gebiet, insbesondere</w:t>
      </w:r>
    </w:p>
    <w:p>
      <w:r>
        <w:t xml:space="preserve">des Wasserhaushaltes durch Wiederherstellung naturnaher Abflussverhältnisse für alle nach Norden führenden Wasserläufe nach der Inanspruchnahme durch den Braunkohle-Tagebau Welzow-Süd,</w:t>
      </w:r>
    </w:p>
    <w:p>
      <w:r>
        <w:t xml:space="preserve">seltener und gefährdeter Vegetationstypen und Biotope, wie Erlenbruchgesellschaften, Trockenrasen, naturnaher Waldbestände als Lebensraum einer großen Anzahl seltener oder gefährdeter Tier- und Pflanzenarten.</w:t>
      </w:r>
    </w:p>
    <w:p>
      <w:r>
        <w:rPr>
          <w:color w:val="555555"/>
          <w:sz w:val="17"/>
        </w:rPr>
        <w:t xml:space="preserve">Zitiervorschlag: § 3 VO-LSG_STEINITZ_GEISENDORFER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https://recht.nulegal.eu/gesetze/VO-LSG_STEINITZ_GEISENDORFER/3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