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VO-LSG_STEINITZ_GEISENDORFER (Brandenburg) — In-Kraft-Treten</w:t>
      </w:r>
    </w:p>
    <w:p>
      <w:r>
        <w:rPr>
          <w:color w:val="555555"/>
          <w:sz w:val="18"/>
        </w:rPr>
        <w:t xml:space="preserve">Verordnung über das Landschaftsschutzgebiet „Steinitz-Geisendorfer Endmoränenlandschaft“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6. Mai 2002</w:t>
      </w:r>
    </w:p>
    <w:p>
      <w:r>
        <w:t xml:space="preserve">Der Minister für Landwirtschaft,</w:t>
      </w:r>
    </w:p>
    <w:p>
      <w:r>
        <w:t xml:space="preserve">Umweltschutz und Raumordnung</w:t>
      </w:r>
    </w:p>
    <w:p>
      <w:r>
        <w:t xml:space="preserve">In Vertretung</w:t>
      </w:r>
    </w:p>
    <w:p>
      <w:r>
        <w:t xml:space="preserve">Friedhelm Schmitz-Jersch</w:t>
      </w:r>
    </w:p>
    <w:p>
      <w:r>
        <w:rPr>
          <w:color w:val="555555"/>
          <w:sz w:val="17"/>
        </w:rPr>
        <w:t xml:space="preserve">Zitiervorschlag: § 12 VO-LSG_STEINITZ_GEISENDORFER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https://recht.nulegal.eu/gesetze/VO-LSG_STEINITZ_GEISENDORFER/12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