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VO-LSG_STEINITZ_GEISENDORFER (Brandenburg) — Geltendmachen von Rechtsmängeln</w:t>
      </w:r>
    </w:p>
    <w:p>
      <w:r>
        <w:rPr>
          <w:color w:val="555555"/>
          <w:sz w:val="18"/>
        </w:rPr>
        <w:t xml:space="preserve">Verordnung über das Landschaftsschutzgebiet „Steinitz-Geisendorfer Endmoränenlandschaft“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11 VO-LSG_STEINITZ_GEISENDORFER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https://recht.nulegal.eu/gesetze/VO-LSG_STEINITZ_GEISENDORFER/11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VO-LSG_STEINITZ_GEISENDORFER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