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VO-LSG_STEINITZ_GEISENDORFER (Brandenburg) — Verhältnis zu anderen naturschutzrechtlichen Bestimmungen</w:t>
      </w:r>
    </w:p>
    <w:p>
      <w:r>
        <w:rPr>
          <w:color w:val="555555"/>
          <w:sz w:val="18"/>
        </w:rPr>
        <w:t xml:space="preserve">Verordnung über das Landschaftsschutzgebiet „Steinitz-Geisendorfer Endmoränenlandschaft“</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Der Erlass von Pflegeplänen zur Ausführung der in dieser Verordnung festgelegten Schutz-, Pflege- und Entwicklungsmaßnahmen und zur Verwirklichung des Schutzzwecks und die Duldung von Maßnahmen des Naturschutzes und der Landschaftspflege richten sich nach den §§ 29 und 68 des Brandenburgischen Naturschutzgesetzes.</w:t>
      </w:r>
    </w:p>
    <w:p>
      <w:r>
        <w:t xml:space="preserve">(2) Soweit für den Bereich des Landschaftsschutzgebietes weiter gehende naturschutzrechtliche Vorschriften bestehen, bleiben diese unberührt.</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und §§ 37 bis 43 des Brandenburgischen Naturschutzgesetzes) unberührt.</w:t>
      </w:r>
    </w:p>
    <w:p>
      <w:r>
        <w:rPr>
          <w:color w:val="555555"/>
          <w:sz w:val="17"/>
        </w:rPr>
        <w:t xml:space="preserve">Zitiervorschlag: § 10 VO-LSG_STEINITZ_GEISENDORFER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https://recht.nulegal.eu/gesetze/VO-LSG_STEINITZ_GEISENDORFER/10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