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VO-LSGELSTERNIEDERUNG (Brandenburg) — Duldungspflicht, Verhältnis zu anderen rechtlichen Bestimmungen</w:t>
      </w:r>
    </w:p>
    <w:p>
      <w:r>
        <w:rPr>
          <w:color w:val="555555"/>
          <w:sz w:val="18"/>
        </w:rPr>
        <w:t xml:space="preserve">Verordnung über das Landschaftsschutzgebiet „Elsterniederung und westliche Oberlausitzer Heide zwischen Senftenberg und Ortrand“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Duldung von Maßnahmen des Naturschutzes und der Landschaftspflege, die zur Ausführung der in dieser Verordnung festgelegten Schutz-, Pflege-, Entwicklungs- und Wiederherstellungsmaßnahmen und zur Verwirklichung des Schutzzwecks erforderlich sind, richtet sich nach § 65 des Bundesnaturschutzgesetzes in Verbindung mit § 25 des Brandenburgischen Naturschutzausführungsgesetzes.</w:t>
      </w:r>
    </w:p>
    <w:p>
      <w:r>
        <w:t xml:space="preserve">(2) Soweit für den Bereich des Landschaftsschutzgebietes weitergehende naturschutzrechtliche Vorschriften bestehen, bleiben diese unberührt.</w:t>
      </w:r>
    </w:p>
    <w:p>
      <w:r>
        <w:t xml:space="preserve">(3) Soweit diese Verordnung keine weitergehenden Vorschriften enthält, bleiben die Regelungen über gesetzlich geschützte Teile von Natur und Landschaft im Sinne der §§ 17 und 18 des Brandenburgischen Naturschutzausführungsgesetzes in Verbindung mit § 29 Absatz 3 und § 30 des Bundesnaturschutzgesetzes, über das Netz „Natura 2000“ im Sinne der §§ 33 und 34 des Bundesnaturschutzgesetzes, über den Schutz und die Pflege wild lebender Tier- und Pflanzenarten im Sinne der §§ 37 bis 47 des Bundesnaturschutzgesetzes sowie über Horststandorte im Sinne des § 19 des Brandenburgischen Naturschutzausführungsgesetzes unberührt.</w:t>
      </w:r>
    </w:p>
    <w:p>
      <w:r>
        <w:rPr>
          <w:color w:val="555555"/>
          <w:sz w:val="17"/>
        </w:rPr>
        <w:t xml:space="preserve">Zitiervorschlag: § 9 VO-LSGELSTERNIEDERUNG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https://recht.nulegal.eu/gesetze/VO-LSGELSTERNIEDERUNG/9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