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VO-LSGDAHMEHEIDESEEN_2016 (Brandenburg) — Verhältnis zu anderen naturschutzrechtlichen Bestimmungen</w:t>
      </w:r>
    </w:p>
    <w:p>
      <w:r>
        <w:rPr>
          <w:color w:val="555555"/>
          <w:sz w:val="18"/>
        </w:rPr>
        <w:t xml:space="preserve">Verordnung über das Landschaftsschutzgebiet „Dahme-Heideseen“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und §§ 37 bis 43 des Brandenburgischen Naturschutzgesetzes) unberührt.</w:t>
      </w:r>
    </w:p>
    <w:p>
      <w:r>
        <w:rPr>
          <w:color w:val="555555"/>
          <w:sz w:val="17"/>
        </w:rPr>
        <w:t xml:space="preserve">Zitiervorschlag: § 9 VO-LSGDAHMEHEIDESEEN_2016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https://recht.nulegal.eu/gesetze/VO-LSGDAHMEHEIDESEEN_2016/9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