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VO-LSGDAHMEHEIDESEEN_2016 (Brandenburg) — Zulässige Handlungen</w:t>
      </w:r>
    </w:p>
    <w:p>
      <w:r>
        <w:rPr>
          <w:color w:val="555555"/>
          <w:sz w:val="18"/>
        </w:rPr>
        <w:t xml:space="preserve">Verordnung über das Landschaftsschutzgebiet „Dahme-Heideseen“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1 und 3 sowie § 4 Abs. 2 Nr. 7 gelten,</w:t>
      </w:r>
    </w:p>
    <w:p>
      <w:r>
        <w:t xml:space="preserve">§ 4 Abs. 1 Nr. 2 gilt, wobei eine Bewirtschaftung von Niedermooren entsprechend den Moortypen (Norm-, Mulm-,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 mit der Maßgabe, daß</w:t>
      </w:r>
    </w:p>
    <w:p>
      <w:r>
        <w:t xml:space="preserve">§ 4 Abs. 1 Nr. 1 und</w:t>
      </w:r>
    </w:p>
    <w:p>
      <w:r>
        <w:t xml:space="preserve">§ 4 Abs. 2 Nr. 8 gelten;</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nur Materialien verwendet werden, die sich in das Landschaftsbild einfügen;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w:t>
      </w:r>
    </w:p>
    <w:p>
      <w:r>
        <w:t xml:space="preserve">§ 4 Abs. 2 Nr. 4 für die Angelfischerei gilt,</w:t>
      </w:r>
    </w:p>
    <w:p>
      <w:r>
        <w:t xml:space="preserve">Fanggeräte und Fangmittel so einzusetzen oder auszustatten sind, daß eine Gefährdung des Fischotters weitgehend ausgeschlossen ist;</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die im Sinne des § 38 Abs. 1 Nr. 1 des Bundesnaturschutzgesetzes bestimmungsgemäße Nutzung der der Landesverteidigung dienenden Flächen einschließlich des Schutzes der Zivilbevölkerung sowie die zur Aufrechterhaltung und Sicherung der militärischen Nutzung erforderlichen Tätigkeiten, Maßnahmen und Einrichtungen;</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die Nachrüstung bestehender landwirtschaftlicher Anlagen, soweit sie nach dem Bundesimmissionsschutzgesetz bis zum 30. Juni 1999 erforderlich ist;</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bzw. Erweiterung von Baukörpern, die einer öffentlich-rechtlichen Genehmigung oder Anzeige bedürfen, darstellen, ist das Einvernehmen mit der unteren Naturschutzbehörde erforderlich;</w:t>
      </w:r>
    </w:p>
    <w:p>
      <w:r>
        <w:t xml:space="preserve">Handlungen nach § 4 Abs. 1 Nr. 3 und § 4 Abs. 2 Nr. 9 in rechtmäßig bestehenden Baumschulen, Gärten, Friedhöfen, Park- und Gartenanlagen;</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zuständigen Naturschutzbehörde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die Durchführung von Untersuchungsmaßnahmen sowie von Maßnahmen zur Gefahrenabwehr in Altbergbaugebieten auf der Grundlage einer bergschadenskundlichen Analyse im Benehmen mit der unteren Naturschutzbehörde. Der Herstellung des Benehmens bedarf es nicht, soweit es sich um unaufschiebbare Maßnahmen handelt.</w:t>
      </w:r>
    </w:p>
    <w:p>
      <w:r>
        <w:t xml:space="preserve">(2) Die in § 4 Abs. 2 Nr. 4 dieser Verordnung für das Betreten des Landschaftsschutzgebietes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und die von ihnen beauftragten Personen, soweit diese in Wahrnehmung ihrer gesetzlichen Aufgaben handeln. Der Genehmigungsvorbehalt nach § 19 Abs. 3 des Landeswaldgesetzes bleibt unberührt.</w:t>
      </w:r>
    </w:p>
    <w:p>
      <w:r>
        <w:rPr>
          <w:color w:val="555555"/>
          <w:sz w:val="17"/>
        </w:rPr>
        <w:t xml:space="preserve">Zitiervorschlag: § 5 VO-LSGDAHMEHEIDESEEN_2016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https://recht.nulegal.eu/gesetze/VO-LSGDAHMEHEIDESEEN_2016/5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