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VO-LSGDAHMEHEIDESEEN_2016 (Brandenburg) — Verbote, Genehmigungsvorbehalte</w:t>
      </w:r>
    </w:p>
    <w:p>
      <w:r>
        <w:rPr>
          <w:color w:val="555555"/>
          <w:sz w:val="18"/>
        </w:rPr>
        <w:t xml:space="preserve">Verordnung über das Landschaftsschutzgebiet „Dahme-Heideseen“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in dem Landschaftsschutzgebiet gemäß § 22 Abs. 3 des Brandenburgischen Naturschutzgesetzes folgende Handlungen verboten:</w:t>
      </w:r>
    </w:p>
    <w:p>
      <w:r>
        <w:t xml:space="preserve">Borstgras- und Trockenrasen, Zwergstrauchheiden und Binnendünen nachteilig zu verändern, zu beschädigen oder zu zerstören;</w:t>
      </w:r>
    </w:p>
    <w:p>
      <w:r>
        <w:t xml:space="preserve">Niedermoorstandorte umzubrechen oder in anderer Weise zu beeinträchtigen;</w:t>
      </w:r>
    </w:p>
    <w:p>
      <w:r>
        <w:t xml:space="preserve">Bäume außerhalb des Waldes, Hecken, Feld- oder Ufergehölze, Ufervegetation oder Findlinge zu beschädigen oder zu beseitigen.</w:t>
      </w:r>
    </w:p>
    <w:p>
      <w:r>
        <w:t xml:space="preserve">(2) Sonstige Handlungen, die geeignet sind, den Charakter des Gebietes zu verändern, den Naturhaushalt zu schädigen, das Landschaftsbild zu verunstalten, den Naturgenuß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und Werbeanlagen aufzustellen oder anzubringen, ausgenommen zur saisonalen Direktvermarktung landwirtschaftlicher Produkte;</w:t>
      </w:r>
    </w:p>
    <w:p>
      <w:r>
        <w:t xml:space="preserve">Röhrichtzonen sowie Verlandungs- und Kesselmoore außerhalb der Wege zu betreten;</w:t>
      </w:r>
    </w:p>
    <w:p>
      <w:r>
        <w:t xml:space="preserve">außerhalb öffentlich-rechtlich zugelassener und gekennzeichneter Plätze sowie von Hausgärten Wohnwagen aufzustellen;</w:t>
      </w:r>
    </w:p>
    <w:p>
      <w:r>
        <w:t xml:space="preserve">Veranstaltungen mit motorbetriebenen Fahrzeugen durchzuführen;</w:t>
      </w:r>
    </w:p>
    <w:p>
      <w:r>
        <w:t xml:space="preserve">Grünland in eine andere Nutzungsart zu überführen;</w:t>
      </w:r>
    </w:p>
    <w:p>
      <w:r>
        <w:t xml:space="preserve">Gewässer jeder Art entgegen dem Schutzweck zu verändern;</w:t>
      </w:r>
    </w:p>
    <w:p>
      <w:r>
        <w:t xml:space="preserve">außerhalb des Waldes landschaftsuntypische Gehölzpflanzungen vorzunehmen.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 Bauleitplans, für die eine bauliche oder sonstige dem Schutzzweck widersprechende Nutzung dargestellt oder festgesetzt ist, sofern das für Naturschutz und Landschaftspflege zuständige Ministerium diesen Darstellungen oder Festsetzungen zugestimmt hat. Diese Flächen sind im Bauleitplan in geeignetem Maßstab kartografisch darzustellen.</w:t>
      </w:r>
    </w:p>
    <w:p>
      <w:r>
        <w:rPr>
          <w:color w:val="555555"/>
          <w:sz w:val="17"/>
        </w:rPr>
        <w:t xml:space="preserve">Zitiervorschlag: § 4 VO-LSGDAHMEHEIDESEEN_2016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https://recht.nulegal.eu/gesetze/VO-LSGDAHMEHEIDESEEN_2016/4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