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VO-ID262994 (Brandenburg) — Inkrafttreten</w:t>
      </w:r>
    </w:p>
    <w:p>
      <w:r>
        <w:rPr>
          <w:color w:val="555555"/>
          <w:sz w:val="18"/>
        </w:rPr>
        <w:t xml:space="preserve">Verordnung über die sachliche Zuständigkeit der Staatsanwaltschaften für die Verfolgung und Ahndung von Ordnungswidrigkeiten nach dem Hinweisgeberschutzgesetz (Hinweisgeberschutzgesetzzuständigkeitsverordnung ‒ HinSchGZuV)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7. Juli 2026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der Justiz und für Digitalisierung</w:t>
      </w:r>
    </w:p>
    <w:p>
      <w:r>
        <w:t xml:space="preserve">Dr. Benjamin Grimm</w:t>
      </w:r>
    </w:p>
    <w:p>
      <w:r>
        <w:rPr>
          <w:color w:val="555555"/>
          <w:sz w:val="17"/>
        </w:rPr>
        <w:t xml:space="preserve">Zitiervorschlag: § 2 VO-ID262994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https://recht.nulegal.eu/gesetze/VO-ID262994/2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