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VO-ID260629 (Brandenburg)</w:t>
      </w:r>
    </w:p>
    <w:p>
      <w:r>
        <w:rPr>
          <w:color w:val="555555"/>
          <w:sz w:val="18"/>
        </w:rPr>
        <w:t xml:space="preserve">Verordnung zur Aufhebung der Verordnung zur Regelung von Zuständigkeiten nach dem Rechtsdienstleistungs- und dem Geldwäschegesetz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zur Regelung von Zuständigkeiten nach dem Rechtsdienstleistungs- und dem Geldwäschegesetz vom 5. Juni 2008 (GVBl. II S. 175), die durch die Verordnung vom 5. November 2018 (GVBl. II Nr. 74) geändert worden ist, wird aufgehoben.</w:t>
      </w:r>
    </w:p>
    <w:p>
      <w:r>
        <w:rPr>
          <w:color w:val="555555"/>
          <w:sz w:val="17"/>
        </w:rPr>
        <w:t xml:space="preserve">Zitiervorschlag: § 1 VO-ID260629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https://recht.nulegal.eu/gesetze/VO-ID260629/1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VO-ID260629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