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Volltext VO-ID259810 (Brandenburg)</w:t>
      </w:r>
    </w:p>
    <w:p>
      <w:r>
        <w:rPr>
          <w:color w:val="555555"/>
          <w:sz w:val="18"/>
        </w:rPr>
        <w:t xml:space="preserve">Aufhebung der Verordnung zur Einführung der elektronischen Aktenführung in Ordnungswidrigkeitenverfahren und über den elektronischen Rechtsverkehr in behördlichen Ordnungswidrigkeitenverfahren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zur Einführung der elektronischen Aktenführung in Ordnungswidrigkeitenverfahren und über den elektronischen Rechtsverkehr in behördlichen Ordnungswidrigkeitenverfahren vom 6. Oktober 2011 ( GVBl. II Nr. 63) wird an dem Tag aufgehoben, an dem die nach Artikel 1 dieser Verordnung erlassene Rechtsvorschrift in Kraft tritt. Das für Inneres zuständige Mitglied der Landesregierung gibt den Tag des Inkrafttretens im Gesetz- und Verordnungsblatt für das Land Brandenburg bekannt.</w:t>
      </w:r>
    </w:p>
    <w:p>
      <w:r>
        <w:t xml:space="preserve">Potsdam, den 17. September 2024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des Innern und für Kommunales</w:t>
      </w:r>
    </w:p>
    <w:p>
      <w:r>
        <w:t xml:space="preserve">Michael Stübgen</w:t>
      </w:r>
    </w:p>
    <w:p>
      <w:r>
        <w:rPr>
          <w:color w:val="555555"/>
          <w:sz w:val="17"/>
        </w:rPr>
        <w:t xml:space="preserve">Zitiervorschlag: Volltext VO-ID259810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https://recht.nulegal.eu/gesetze/VO-ID259810/volltext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