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VO-ID257107 (Brandenburg) — Aufhebung Baubeschränkungsgebiet</w:t>
      </w:r>
    </w:p>
    <w:p>
      <w:r>
        <w:rPr>
          <w:color w:val="555555"/>
          <w:sz w:val="18"/>
        </w:rPr>
        <w:t xml:space="preserve">Neunte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in der kreisfreien Stadt Cottbus/Chóśebuz gelegene und in der Anlage zu dieser Verordnung dargestellte Baubeschränkungsgebiet „Dissenchen“ wird aufgehoben.</w:t>
      </w:r>
    </w:p>
    <w:p>
      <w:r>
        <w:t xml:space="preserve">(2) Die Karten und Pläne, die Bestandteil der Aufhebung des unter Absatz 1 genannten Baubeschränkungsgebietes sind, werden gemäß § 107 Absatz 2 des Bundesberggesetzes zu jedermanns Einsicht archivmäßig gesichert beim Landesamt für Bergbau, Geologie und Rohstoffe Brandenburg niedergelegt.</w:t>
      </w:r>
    </w:p>
    <w:p>
      <w:r>
        <w:rPr>
          <w:color w:val="555555"/>
          <w:sz w:val="17"/>
        </w:rPr>
        <w:t xml:space="preserve">Zitiervorschlag: § 1 VO-ID257107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https://recht.nulegal.eu/gesetze/VO-ID257107/1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VO-ID257107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