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VO-ID251481 (Brandenburg)</w:t>
      </w:r>
    </w:p>
    <w:p>
      <w:r>
        <w:rPr>
          <w:color w:val="555555"/>
          <w:sz w:val="18"/>
        </w:rPr>
        <w:t xml:space="preserve">Neunte Verordnung zur Übertragung der Befugnis für den Erlass und die Aufhebung von Rechtsverordnungen zur Festsetzung von Naturschutz- und Landschaftsschutzgebieten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Befugnis des für Naturschutz und Landschaftspflege zuständigen Mitgliedes der Landesregierung zur Aufhebung von Rechtsverordnungen zur Festsetzung von Landschaftsschutzgebieten nach den §§ 22 und 26 des Bundesnaturschutzgesetzes und des § 8 Absatz 1 des Brandenburgischen Naturschutzausführungsgesetzes wird für die folgenden im Landkreis Märkisch-Oderland gelegenen Landschaftsschutzgebiete auf den Landkreis Märkisch-Oderland als untere Naturschutzbehörde übertragen:</w:t>
      </w:r>
    </w:p>
    <w:p>
      <w:r>
        <w:t xml:space="preserve">„Oderhänge Seelow-Lebus“,</w:t>
      </w:r>
    </w:p>
    <w:p>
      <w:r>
        <w:t xml:space="preserve">„Trepliner Seen, Booßener und Altzeschdorfer Mühlenfließ“,</w:t>
      </w:r>
    </w:p>
    <w:p>
      <w:r>
        <w:t xml:space="preserve">„Seenkette des Platkower Mühlenfließes/Heidelandschaft Worin“,</w:t>
      </w:r>
    </w:p>
    <w:p>
      <w:r>
        <w:t xml:space="preserve">„Odervorland Groß Neuendorf-Lebus“.</w:t>
      </w:r>
    </w:p>
    <w:p>
      <w:r>
        <w:rPr>
          <w:color w:val="555555"/>
          <w:sz w:val="17"/>
        </w:rPr>
        <w:t xml:space="preserve">Zitiervorschlag: § 2 VO-ID251481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https://recht.nulegal.eu/gesetze/VO-ID251481/2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