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VO-ID247155 (Brandenburg) — Inkrafttreten</w:t>
      </w:r>
    </w:p>
    <w:p>
      <w:r>
        <w:rPr>
          <w:color w:val="555555"/>
          <w:sz w:val="18"/>
        </w:rPr>
        <w:t xml:space="preserve">Verordnung zur Bestimmung der Stadt Königs Wusterhausen zur Großen kreisangehörigen Stadt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15. Mai 2019</w:t>
      </w:r>
    </w:p>
    <w:p>
      <w:r>
        <w:t xml:space="preserve">Der Minister des Innern und für Kommunales</w:t>
      </w:r>
    </w:p>
    <w:p>
      <w:r>
        <w:t xml:space="preserve">Karl-Heinz Schröter</w:t>
      </w:r>
    </w:p>
    <w:p>
      <w:r>
        <w:rPr>
          <w:color w:val="555555"/>
          <w:sz w:val="17"/>
        </w:rPr>
        <w:t xml:space="preserve">Zitiervorschlag: § 2 VO-ID247155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https://recht.nulegal.eu/gesetze/VO-ID247155/2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