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VO-ID247155 (Brandenburg) — Statusregelung</w:t>
      </w:r>
    </w:p>
    <w:p>
      <w:r>
        <w:rPr>
          <w:color w:val="555555"/>
          <w:sz w:val="18"/>
        </w:rPr>
        <w:t xml:space="preserve">Verordnung zur Bestimmung der Stadt Königs Wusterhausen zur Großen kreisangehörigen Stadt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kreisangehörige Stadt Königs Wusterhausen wird zur Großen kreisangehörigen Stadt bestimmt.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VO-ID247155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https://recht.nulegal.eu/gesetze/VO-ID247155/1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