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VO-ID244379 (Brandenburg)</w:t>
      </w:r>
    </w:p>
    <w:p>
      <w:r>
        <w:rPr>
          <w:color w:val="555555"/>
          <w:sz w:val="18"/>
        </w:rPr>
        <w:t xml:space="preserve">Verordnung über die Bestimmung der Landeshauptkasse als Vollstreckungsbehörde nach dem Justizbeitreibungsgesetz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 Gleichzeitig tritt die Verordnung über die Bestimmung der Landeshauptkasse als Vollstreckungsbehörde nach der Justizbeitreibungsordnung vom 18. Oktober 2006 ( GVBl. II S. 447) außer Kraft.</w:t>
      </w:r>
    </w:p>
    <w:p>
      <w:r>
        <w:t xml:space="preserve">Einzelnorm</w:t>
      </w:r>
    </w:p>
    <w:p>
      <w:r>
        <w:t xml:space="preserve">Potsdam, den 23. April 2018</w:t>
      </w:r>
    </w:p>
    <w:p>
      <w:r>
        <w:t xml:space="preserve">Die Landesregierung</w:t>
      </w:r>
    </w:p>
    <w:p>
      <w:r>
        <w:t xml:space="preserve">des Landes Brandenburg</w:t>
      </w:r>
    </w:p>
    <w:p>
      <w:r>
        <w:t xml:space="preserve">Der Ministerpräsident</w:t>
      </w:r>
    </w:p>
    <w:p>
      <w:r>
        <w:t xml:space="preserve">Dr. Dietmar Woidke</w:t>
      </w:r>
    </w:p>
    <w:p>
      <w:r>
        <w:t xml:space="preserve">Der Minister der Finanzen</w:t>
      </w:r>
    </w:p>
    <w:p>
      <w:r>
        <w:t xml:space="preserve">Christian Görke</w:t>
      </w:r>
    </w:p>
    <w:p>
      <w:r>
        <w:rPr>
          <w:color w:val="555555"/>
          <w:sz w:val="17"/>
        </w:rPr>
        <w:t xml:space="preserve">Zitiervorschlag: § 2 VO-ID244379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https://recht.nulegal.eu/gesetze/VO-ID244379/2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