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VO-ID244379 (Brandenburg)</w:t>
      </w:r>
    </w:p>
    <w:p>
      <w:r>
        <w:rPr>
          <w:color w:val="555555"/>
          <w:sz w:val="18"/>
        </w:rPr>
        <w:t xml:space="preserve">Verordnung über die Bestimmung der Landeshauptkasse als Vollstreckungsbehörde nach dem Justizbeitreibungsgesetz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Landeshauptkasse wird für diejenigen Ansprüche, deren Beitreibung nach dem Justizbeitreibungsgesetz den Gerichtskassen obliegt, als Vollstreckungsbehörde bestimmt.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VO-ID244379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https://recht.nulegal.eu/gesetze/VO-ID244379/1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VO-ID244379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