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VO-ID212970 (Brandenburg) — Inkrafttreten</w:t>
      </w:r>
    </w:p>
    <w:p>
      <w:r>
        <w:rPr>
          <w:color w:val="555555"/>
          <w:sz w:val="18"/>
        </w:rPr>
        <w:t xml:space="preserve">Verordnung über das Naturschutzgebiet „Naturentwicklungsgebiet Kockot“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</w:t>
      </w:r>
    </w:p>
    <w:p>
      <w:r>
        <w:t xml:space="preserve">Kraft.</w:t>
      </w:r>
    </w:p>
    <w:p>
      <w:r>
        <w:t xml:space="preserve">Potsdam,</w:t>
      </w:r>
    </w:p>
    <w:p>
      <w:r>
        <w:t xml:space="preserve">den 22. September 2014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</w:t>
      </w:r>
    </w:p>
    <w:p>
      <w:r>
        <w:t xml:space="preserve">Tack</w:t>
      </w:r>
    </w:p>
    <w:p>
      <w:r>
        <w:rPr>
          <w:color w:val="555555"/>
          <w:sz w:val="17"/>
        </w:rPr>
        <w:t xml:space="preserve">Zitiervorschlag: § 9 VO-ID212970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https://recht.nulegal.eu/gesetze/VO-ID212970/9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