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VO-ID212970 (Brandenburg) — Befreiungen</w:t>
      </w:r>
    </w:p>
    <w:p>
      <w:r>
        <w:rPr>
          <w:color w:val="555555"/>
          <w:sz w:val="18"/>
        </w:rPr>
        <w:t xml:space="preserve">Verordnung über das Naturschutzgebiet „Naturentwicklungsgebiet Kockot“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</w:t>
      </w:r>
    </w:p>
    <w:p>
      <w:r>
        <w:t xml:space="preserve">zuständige Naturschutzbehörde auf Antrag gemäß § 67 des Bundesnaturschutzgesetzes</w:t>
      </w:r>
    </w:p>
    <w:p>
      <w:r>
        <w:t xml:space="preserve">Befreiung gewähren.</w:t>
      </w:r>
    </w:p>
    <w:p>
      <w:r>
        <w:rPr>
          <w:color w:val="555555"/>
          <w:sz w:val="17"/>
        </w:rPr>
        <w:t xml:space="preserve">Zitiervorschlag: § 5 VO-ID212970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https://recht.nulegal.eu/gesetze/VO-ID212970/5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