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VO-ID212970 (Brandenburg) — Schutzzweck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Naturschutzgebietes ist es, die</w:t>
      </w:r>
    </w:p>
    <w:p>
      <w:r>
        <w:t xml:space="preserve">Funktion einer Kernzone innerhalb des „Biosphärenreservates Spreewald“ zu</w:t>
      </w:r>
    </w:p>
    <w:p>
      <w:r>
        <w:t xml:space="preserve">erfüllen. Insbesondere werden naturnahe Stieleichen-Hainbuchen- und</w:t>
      </w:r>
    </w:p>
    <w:p>
      <w:r>
        <w:t xml:space="preserve">Erlen-Eschen-Wälder auf Niedermoor-, Moorgley- und Anmoorstandorten der</w:t>
      </w:r>
    </w:p>
    <w:p>
      <w:r>
        <w:t xml:space="preserve">direkten menschlichen Einflussnahme entzogen und langfristig der natürlichen</w:t>
      </w:r>
    </w:p>
    <w:p>
      <w:r>
        <w:t xml:space="preserve">Entwicklung überlassen.</w:t>
      </w:r>
    </w:p>
    <w:p>
      <w:r>
        <w:rPr>
          <w:color w:val="555555"/>
          <w:sz w:val="17"/>
        </w:rPr>
        <w:t xml:space="preserve">Zitiervorschlag: § 3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