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VO-ID212907 (Brandenburg) — Inkrafttreten</w:t>
      </w:r>
    </w:p>
    <w:p>
      <w:r>
        <w:rPr>
          <w:color w:val="555555"/>
          <w:sz w:val="18"/>
        </w:rPr>
        <w:t xml:space="preserve">Verordnung zur Änderung der typisierenden Bezeichnung der Hochschule für Film und Fernsehen Potsdam-Babelsberg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Juli 2014 in Kraft.</w:t>
      </w:r>
    </w:p>
    <w:p>
      <w:r>
        <w:t xml:space="preserve">Potsdam, den 4. Juli 2014</w:t>
      </w:r>
    </w:p>
    <w:p>
      <w:r>
        <w:t xml:space="preserve">Die Ministerin für Wissenschaft,</w:t>
      </w:r>
    </w:p>
    <w:p>
      <w:r>
        <w:t xml:space="preserve">Forschung und Kultur</w:t>
      </w:r>
    </w:p>
    <w:p>
      <w:r>
        <w:t xml:space="preserve">Prof. Dr.-Ing. Dr. Sabine Kunst</w:t>
      </w:r>
    </w:p>
    <w:p>
      <w:r>
        <w:rPr>
          <w:color w:val="555555"/>
          <w:sz w:val="17"/>
        </w:rPr>
        <w:t xml:space="preserve">Zitiervorschlag: § 4 VO-ID212907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https://recht.nulegal.eu/gesetze/VO-ID212907/4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