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VO-ID212905 (Brandenburg) — Befreiungen</w:t>
      </w:r>
    </w:p>
    <w:p>
      <w:r>
        <w:rPr>
          <w:color w:val="555555"/>
          <w:sz w:val="18"/>
        </w:rPr>
        <w:t xml:space="preserve">Verordnung über den Schutzwald „Naturwald Zootzen“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Wenn überwiegende Gründe des Gemeinwohls es erfordern, kann die untere</w:t>
      </w:r>
    </w:p>
    <w:p>
      <w:r>
        <w:t xml:space="preserve">Forstbehörde im Einvernehmen mit der unteren Naturschutzbehörde auf Antrag</w:t>
      </w:r>
    </w:p>
    <w:p>
      <w:r>
        <w:t xml:space="preserve">Befreiungen von den Verboten dieser Verordnung gewähren.</w:t>
      </w:r>
    </w:p>
    <w:p>
      <w:r>
        <w:rPr>
          <w:color w:val="555555"/>
          <w:sz w:val="17"/>
        </w:rPr>
        <w:t xml:space="preserve">Zitiervorschlag: § 7 VO-ID212905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https://recht.nulegal.eu/gesetze/VO-ID212905/7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