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VO-ID212905 (Brandenburg) — Schutzzweck</w:t>
      </w:r>
    </w:p>
    <w:p>
      <w:r>
        <w:rPr>
          <w:color w:val="555555"/>
          <w:sz w:val="18"/>
        </w:rPr>
        <w:t xml:space="preserve">Verordnung über den Schutzwald „Naturwald Zootzen“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Schutzzweck des Schutzwaldes ist</w:t>
      </w:r>
    </w:p>
    <w:p>
      <w:r>
        <w:t xml:space="preserve">die Erhaltung und Entwicklung eines grundwasserbeeinflussten</w:t>
      </w:r>
    </w:p>
    <w:p>
      <w:r>
        <w:t xml:space="preserve">Laubmischwaldes zum Zwecke der wissenschaftlichen Beobachtung und Erforschung</w:t>
      </w:r>
    </w:p>
    <w:p>
      <w:r>
        <w:t xml:space="preserve">der naturnahen Entwicklung des Waldes;</w:t>
      </w:r>
    </w:p>
    <w:p>
      <w:r>
        <w:t xml:space="preserve">die Erhaltung und Wiederherstellung der Leistungsfähigkeit des</w:t>
      </w:r>
    </w:p>
    <w:p>
      <w:r>
        <w:t xml:space="preserve">Naturhaushaltes, insbesondere des Wasserhaushaltes des vom alten Rhin gespeisten</w:t>
      </w:r>
    </w:p>
    <w:p>
      <w:r>
        <w:t xml:space="preserve">Waldgebietes;</w:t>
      </w:r>
    </w:p>
    <w:p>
      <w:r>
        <w:t xml:space="preserve">die Erhaltung und Entwicklung des Gebietes als Lebensraum gefährdeter</w:t>
      </w:r>
    </w:p>
    <w:p>
      <w:r>
        <w:t xml:space="preserve">Pflanzen- und Tierarten.</w:t>
      </w:r>
    </w:p>
    <w:p>
      <w:r>
        <w:t xml:space="preserve">(2)</w:t>
      </w:r>
    </w:p>
    <w:p>
      <w:r>
        <w:t xml:space="preserve">Der besondere Schutzzweck ist der Erhalt des Naturwaldes insbesondere zur</w:t>
      </w:r>
    </w:p>
    <w:p>
      <w:r>
        <w:t xml:space="preserve">Repräsentation eines besonders wertvollen Restbestandes eines</w:t>
      </w:r>
    </w:p>
    <w:p>
      <w:r>
        <w:t xml:space="preserve">grundwasserbeeinflussten eutrophen Laubmischwaldes im nördlichen Havelland;</w:t>
      </w:r>
    </w:p>
    <w:p>
      <w:r>
        <w:t xml:space="preserve">Erforschung der Waldstruktur, des Bodens, der Flora und der Fauna, sowie</w:t>
      </w:r>
    </w:p>
    <w:p>
      <w:r>
        <w:t xml:space="preserve">der natürlichen Selbstorganisationsprozesse des Naturwaldes, welcher im Jahr</w:t>
      </w:r>
    </w:p>
    <w:p>
      <w:r>
        <w:t xml:space="preserve">1961 teilweise aus der forstlichen Nutzung entlassen wurde;</w:t>
      </w:r>
    </w:p>
    <w:p>
      <w:r>
        <w:t xml:space="preserve">Nutzung als lokale und regionale Weiserfläche zur Ableitung und</w:t>
      </w:r>
    </w:p>
    <w:p>
      <w:r>
        <w:t xml:space="preserve">exemplarischen Veranschaulichung von Erkenntnissen für die Waldbaupraxis und</w:t>
      </w:r>
    </w:p>
    <w:p>
      <w:r>
        <w:t xml:space="preserve">forstliche Lehre;</w:t>
      </w:r>
    </w:p>
    <w:p>
      <w:r>
        <w:t xml:space="preserve">Erhaltung und Regeneration forstgenetischer Ressourcen;</w:t>
      </w:r>
    </w:p>
    <w:p>
      <w:r>
        <w:t xml:space="preserve">Erhaltung der floristischen und faunistischen Artenvielfalt, insbesondere</w:t>
      </w:r>
    </w:p>
    <w:p>
      <w:r>
        <w:t xml:space="preserve">der Fledermausvorkommen</w:t>
      </w:r>
    </w:p>
    <w:p>
      <w:r>
        <w:t xml:space="preserve">angrenzender Waldgebiete, in sich natürlich entwickelnden Lebensgemeinschaften.</w:t>
      </w:r>
    </w:p>
    <w:p>
      <w:r>
        <w:t xml:space="preserve">(3)</w:t>
      </w:r>
    </w:p>
    <w:p>
      <w:r>
        <w:t xml:space="preserve">Die Unterschutzstellung dient der Erhaltung und Entwicklung eines Teils</w:t>
      </w:r>
    </w:p>
    <w:p>
      <w:r>
        <w:t xml:space="preserve">des Gebietes von gemeinschaftlicher Bedeutung „Friesacker Zootzen“ mit der</w:t>
      </w:r>
    </w:p>
    <w:p>
      <w:r>
        <w:t xml:space="preserve">Gebietsnummer DE 3241-301 im Sinne des § 7 Absatz 1 Nummer 6 des</w:t>
      </w:r>
    </w:p>
    <w:p>
      <w:r>
        <w:t xml:space="preserve">Bundesnaturschutzgesetzes mit seinem Vorkommen von subatlantischem oder</w:t>
      </w:r>
    </w:p>
    <w:p>
      <w:r>
        <w:t xml:space="preserve">mitteleuropäischem Stieleichenwald oder Hainbuchenwald (Carpinion betuli)</w:t>
      </w:r>
    </w:p>
    <w:p>
      <w:r>
        <w:t xml:space="preserve">[Stellario-Carpinetum] und Auenwäldern mit Alnus glutinosa und Fraxinus</w:t>
      </w:r>
    </w:p>
    <w:p>
      <w:r>
        <w:t xml:space="preserve">excelsior (Alno-Padion, Alnion incanae, Salicion albae) als Biotope von</w:t>
      </w:r>
    </w:p>
    <w:p>
      <w:r>
        <w:t xml:space="preserve">gemeinschaftlichem Interesse („natürliche Lebensraumtypen“ im Sinne des</w:t>
      </w:r>
    </w:p>
    <w:p>
      <w:r>
        <w:t xml:space="preserve">Anhangs I der Richtlinie 92/43/EWG).</w:t>
      </w:r>
    </w:p>
    <w:p>
      <w:r>
        <w:t xml:space="preserve">(4)</w:t>
      </w:r>
    </w:p>
    <w:p>
      <w:r>
        <w:t xml:space="preserve">Die Unterschutzstellung dient der Erhaltung und Entwicklung eines Teils</w:t>
      </w:r>
    </w:p>
    <w:p>
      <w:r>
        <w:t xml:space="preserve">des Europäischen Vogelschutzgebietes „Rhin-Havelluch“ mit der Gebietsnummer</w:t>
      </w:r>
    </w:p>
    <w:p>
      <w:r>
        <w:t xml:space="preserve">DE 3242-421 im Sinne des § 7 Absatz 1 Nummer 7 des</w:t>
      </w:r>
    </w:p>
    <w:p>
      <w:r>
        <w:t xml:space="preserve">Bundesnaturschutzgesetzes in seiner Funktion als Lebensraum von Arten nach</w:t>
      </w:r>
    </w:p>
    <w:p>
      <w:r>
        <w:t xml:space="preserve">Anhang I der Vogelschutz-Richtlinie, beispielsweise Rotmilan (Milvus milvus),</w:t>
      </w:r>
    </w:p>
    <w:p>
      <w:r>
        <w:t xml:space="preserve">Schwarzmilan (Milvus migrans), Wespenbussard (Pernis apivorus), Zwergschnäpper</w:t>
      </w:r>
    </w:p>
    <w:p>
      <w:r>
        <w:t xml:space="preserve">(Ficedula parva), Schwarzspecht (Dryocopus martius) und Mittelspecht</w:t>
      </w:r>
    </w:p>
    <w:p>
      <w:r>
        <w:t xml:space="preserve">(Dendrocopos medius) einschließlich ihrer Brut- und Nahrungsbiotope.</w:t>
      </w:r>
    </w:p>
    <w:p>
      <w:r>
        <w:rPr>
          <w:color w:val="555555"/>
          <w:sz w:val="17"/>
        </w:rPr>
        <w:t xml:space="preserve">Zitiervorschlag: § 3 VO-ID212905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https://recht.nulegal.eu/gesetze/VO-ID212905/3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