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VO-ID212874 (Brandenburg)</w:t>
      </w:r>
    </w:p>
    <w:p>
      <w:r>
        <w:rPr>
          <w:color w:val="555555"/>
          <w:sz w:val="18"/>
        </w:rPr>
        <w:t xml:space="preserve">Ordnungsbehördliche Verordnung zum Schutz von Kriegsstätten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Vorschriften des Gräbergesetzes in der Fassung der Bekanntmachung vom 16. Januar 2012 (BGBl. I S. 98), das zuletzt durch Artikel 9 des Gesetzes vom 23. Juli 2013 (BGBl. I S. 2586) geändert worden ist, bleiben unberührt.</w:t>
      </w:r>
    </w:p>
    <w:p>
      <w:r>
        <w:rPr>
          <w:color w:val="555555"/>
          <w:sz w:val="17"/>
        </w:rPr>
        <w:t xml:space="preserve">Zitiervorschlag: § 5 VO-ID212874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