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VO-ID212874 (Brandenburg)</w:t>
      </w:r>
    </w:p>
    <w:p>
      <w:r>
        <w:rPr>
          <w:color w:val="555555"/>
          <w:sz w:val="18"/>
        </w:rPr>
        <w:t xml:space="preserve">Ordnungsbehördliche Verordnung zum Schutz von Kriegsstätten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gegen das Verbot des § 1 verstößt.</w:t>
      </w:r>
    </w:p>
    <w:p>
      <w:r>
        <w:t xml:space="preserve">(2) Die Ordnungswidrigkeit kann mit einer Geldbuße geahndet werden.</w:t>
      </w:r>
    </w:p>
    <w:p>
      <w:r>
        <w:t xml:space="preserve">(3) Zuständige Verwaltungsbehörde im Sinne des § 36 Absatz 1 Nummer 1 des Gesetzes über Ordnungswidrigkeiten ist die Kreisordnungsbehörde.</w:t>
      </w:r>
    </w:p>
    <w:p>
      <w:r>
        <w:t xml:space="preserve">(4) Die durch eine Ordnungswidrigkeit nach Absatz 1 in Besitz genommenen Gegenstände können eingezogen werden.</w:t>
      </w:r>
    </w:p>
    <w:p>
      <w:r>
        <w:rPr>
          <w:color w:val="555555"/>
          <w:sz w:val="17"/>
        </w:rPr>
        <w:t xml:space="preserve">Zitiervorschlag: § 4 VO-ID212874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