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VO-ID212874 (Brandenburg)</w:t>
      </w:r>
    </w:p>
    <w:p>
      <w:r>
        <w:rPr>
          <w:color w:val="555555"/>
          <w:sz w:val="18"/>
        </w:rPr>
        <w:t xml:space="preserve">Ordnungsbehördliche Verordnung zum Schutz von Kriegsstätten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 Kriegstote gelten</w:t>
      </w:r>
    </w:p>
    <w:p>
      <w:r>
        <w:t xml:space="preserve">Personen, die in der Zeit vom 26. August 1939 bis 8. Mai 1945 während ihres militärischen oder militär-ähnlichen Dienstes gefallen oder tödlich verunglückt oder an den Folgen der in diesem Dienste erlittenen Gesundheitsschäden gestorben sind,</w:t>
      </w:r>
    </w:p>
    <w:p>
      <w:r>
        <w:t xml:space="preserve">Zivilpersonen, die in der Zeit vom 26. August 1939 bis 8. Mai 1945 durch unmittelbare Kriegseinwirkung zu Tode gekommen oder an den Folgen der durch unmittelbare Kriegseinwirkung erlittenen Gesundheitsschäden gestorben sind,</w:t>
      </w:r>
    </w:p>
    <w:p>
      <w:r>
        <w:t xml:space="preserve">sonstige in § 1 Absatz 1 des Gräbergesetzes aufgeführte Personengruppen.</w:t>
      </w:r>
    </w:p>
    <w:p>
      <w:r>
        <w:t xml:space="preserve">(2) Kriegsstätten sind solche Gebiete, auf denen bis 8. Mai 1945 Kampfhandlungen stattgefunden haben und auf denen Kriegstote außerhalb ausgewiesener Begräbnisplätze bestattet wurden, oder in denen die in § 1 aufgeführten Gegenstände lagern.</w:t>
      </w:r>
    </w:p>
    <w:p>
      <w:r>
        <w:t xml:space="preserve">(3) Die Kreisordnungsbehörden bestimmen durch ordnungsbehördliche Verordnungen räumlich umgrenzte Gebiete zu Kriegsstätten.</w:t>
      </w:r>
    </w:p>
    <w:p>
      <w:r>
        <w:rPr>
          <w:color w:val="555555"/>
          <w:sz w:val="17"/>
        </w:rPr>
        <w:t xml:space="preserve">Zitiervorschlag: § 2 VO-ID212874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