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2b VO-ID212873 (Brandenburg)</w:t>
      </w:r>
    </w:p>
    <w:p>
      <w:r>
        <w:rPr>
          <w:color w:val="555555"/>
          <w:sz w:val="18"/>
        </w:rPr>
        <w:t xml:space="preserve">Verordnung über die Zuständigkeit in Namensänderungsangelegenheiten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Namensänderungsanträge, die vor dem Inkrafttreten einer</w:t>
      </w:r>
    </w:p>
    <w:p>
      <w:r>
        <w:t xml:space="preserve">Zuständigkeitsübertragungsregelung nach § 2a gestellt wurden, bleibt die bisher</w:t>
      </w:r>
    </w:p>
    <w:p>
      <w:r>
        <w:t xml:space="preserve">zuständige Kreisordnungsbehörde zuständig.</w:t>
      </w:r>
    </w:p>
    <w:p>
      <w:r>
        <w:rPr>
          <w:color w:val="555555"/>
          <w:sz w:val="17"/>
        </w:rPr>
        <w:t xml:space="preserve">Zitiervorschlag: § 2b VO-ID212873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https://recht.nulegal.eu/gesetze/VO-ID212873/2b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