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2a VO-ID212873 (Brandenburg)</w:t>
      </w:r>
    </w:p>
    <w:p>
      <w:r>
        <w:rPr>
          <w:color w:val="555555"/>
          <w:sz w:val="18"/>
        </w:rPr>
        <w:t xml:space="preserve">Verordnung über die Zuständigkeit in Namensänderungsangelegenheiten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Übertragung von Aufgaben nach den §§ 1 und 2 auf weitere Große kreisangehörige Städte sowie der</w:t>
      </w:r>
    </w:p>
    <w:p>
      <w:r>
        <w:t xml:space="preserve">Widerruf der Übertragung richten sich nach den kommunalrechtlichen Vorschriften.</w:t>
      </w:r>
    </w:p>
    <w:p>
      <w:r>
        <w:rPr>
          <w:color w:val="555555"/>
          <w:sz w:val="17"/>
        </w:rPr>
        <w:t xml:space="preserve">Zitiervorschlag: § 2a VO-ID212873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https://recht.nulegal.eu/gesetze/VO-ID212873/2a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